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709"/>
        </w:tabs>
        <w:spacing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INSTRUÇÕES PARA A PREPARAÇÃO E SUBMISSÃO DE TRABALHOS À COMISSÃO CIENTÍFICA DO II CONGRESSO INTERNACIONAL  DE MULHERES EM STEAM E III SIMPÓSIO BRASILEIRO DE MULHERES EM STEM </w:t>
      </w:r>
    </w:p>
    <w:p w:rsidR="00000000" w:rsidDel="00000000" w:rsidP="00000000" w:rsidRDefault="00000000" w:rsidRPr="00000000" w14:paraId="00000004">
      <w:pPr>
        <w:tabs>
          <w:tab w:val="left" w:leader="none" w:pos="709"/>
        </w:tabs>
        <w:spacing w:line="240" w:lineRule="auto"/>
        <w:jc w:val="both"/>
        <w:rPr>
          <w:strike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709"/>
        </w:tabs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 as instruções e formate seu artigo de acordo com este padrão (</w:t>
      </w:r>
      <w:r w:rsidDel="00000000" w:rsidR="00000000" w:rsidRPr="00000000">
        <w:rPr>
          <w:i w:val="1"/>
          <w:sz w:val="24"/>
          <w:szCs w:val="24"/>
          <w:rtl w:val="0"/>
        </w:rPr>
        <w:t xml:space="preserve">template</w:t>
      </w:r>
      <w:r w:rsidDel="00000000" w:rsidR="00000000" w:rsidRPr="00000000">
        <w:rPr>
          <w:sz w:val="24"/>
          <w:szCs w:val="24"/>
          <w:rtl w:val="0"/>
        </w:rPr>
        <w:t xml:space="preserve">). O arquivo não deve ultrapassar duas (duas) páginas e deve ser submetido em formato PDF. O trabalho deve atender à temática do evento. Não será permitida a inclusão ou exclusão de autores após o término do prazo de submissão.</w:t>
      </w:r>
    </w:p>
    <w:p w:rsidR="00000000" w:rsidDel="00000000" w:rsidP="00000000" w:rsidRDefault="00000000" w:rsidRPr="00000000" w14:paraId="00000006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709"/>
        </w:tabs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submissão de cada trabalho deve ser feita por um de seus autores, na sua área restrita pessoal (acessada com login e senha previamente cadastrados), no link específico referente à submissão. Não inserir informações dos autores e afiliações, resumo e palavras-chave no corpo do trabalho. Essas informações devem ser inseridas somente no formulário </w:t>
      </w:r>
      <w:r w:rsidDel="00000000" w:rsidR="00000000" w:rsidRPr="00000000">
        <w:rPr>
          <w:i w:val="1"/>
          <w:sz w:val="24"/>
          <w:szCs w:val="24"/>
          <w:rtl w:val="0"/>
        </w:rPr>
        <w:t xml:space="preserve">online</w:t>
      </w:r>
      <w:r w:rsidDel="00000000" w:rsidR="00000000" w:rsidRPr="00000000">
        <w:rPr>
          <w:sz w:val="24"/>
          <w:szCs w:val="24"/>
          <w:rtl w:val="0"/>
        </w:rPr>
        <w:t xml:space="preserve"> de submissão.</w:t>
      </w:r>
    </w:p>
    <w:p w:rsidR="00000000" w:rsidDel="00000000" w:rsidP="00000000" w:rsidRDefault="00000000" w:rsidRPr="00000000" w14:paraId="00000008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709"/>
        </w:tabs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Trabalhos fora dos padrões de formatação estabelecidos serão rejeitados. </w:t>
      </w:r>
    </w:p>
    <w:p w:rsidR="00000000" w:rsidDel="00000000" w:rsidP="00000000" w:rsidRDefault="00000000" w:rsidRPr="00000000" w14:paraId="0000000A">
      <w:pPr>
        <w:tabs>
          <w:tab w:val="left" w:leader="none" w:pos="709"/>
        </w:tabs>
        <w:spacing w:line="240" w:lineRule="auto"/>
        <w:jc w:val="both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709"/>
        </w:tabs>
        <w:spacing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709"/>
        </w:tabs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D">
      <w:pPr>
        <w:tabs>
          <w:tab w:val="left" w:leader="none" w:pos="709"/>
        </w:tabs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9" w:lineRule="auto"/>
        <w:ind w:left="0" w:right="56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</w:t>
        <w:tab/>
        <w:t xml:space="preserve">Introdução</w:t>
      </w:r>
    </w:p>
    <w:p w:rsidR="00000000" w:rsidDel="00000000" w:rsidP="00000000" w:rsidRDefault="00000000" w:rsidRPr="00000000" w14:paraId="00000011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Espaço destinado à contextualização e delimitação do tema, com a breve descrição do problema, objetivos, justificativa e metodologia da pesquisa/projeto/proposta.</w:t>
      </w:r>
    </w:p>
    <w:p w:rsidR="00000000" w:rsidDel="00000000" w:rsidP="00000000" w:rsidRDefault="00000000" w:rsidRPr="00000000" w14:paraId="0000001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9" w:lineRule="auto"/>
        <w:ind w:left="708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2.</w:t>
        <w:tab/>
        <w:t xml:space="preserve">Citações</w:t>
      </w:r>
    </w:p>
    <w:p w:rsidR="00000000" w:rsidDel="00000000" w:rsidP="00000000" w:rsidRDefault="00000000" w:rsidRPr="00000000" w14:paraId="00000014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 sistema de referências é autor-data, de acordo com a NBR 10520:2002.</w:t>
      </w:r>
    </w:p>
    <w:p w:rsidR="00000000" w:rsidDel="00000000" w:rsidP="00000000" w:rsidRDefault="00000000" w:rsidRPr="00000000" w14:paraId="00000015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 citação direta consiste na transcrição textual de parte da obra ou trabalho do (a) autor (a) consultado (a). Se a citação direta for de até 3 (três) linhas, deverá vir transcrita entre aspas. Se maior do que 3 (três) linhas, deverá haver recuo de margem do texto (4 cm) e diminuição no tamanho da fonte (tamanho 11). Os exemplos, abaixo, ilustram como poderão vir as respectivas citações diretas:</w:t>
      </w:r>
    </w:p>
    <w:p w:rsidR="00000000" w:rsidDel="00000000" w:rsidP="00000000" w:rsidRDefault="00000000" w:rsidRPr="00000000" w14:paraId="00000016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Citações diretas de até 3 linhas:</w:t>
      </w:r>
    </w:p>
    <w:p w:rsidR="00000000" w:rsidDel="00000000" w:rsidP="00000000" w:rsidRDefault="00000000" w:rsidRPr="00000000" w14:paraId="00000018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Brasil, em 2015, “fechou acordo sobre o combate à mudança climática, marcando compromissos ambiciosos com os objetivos da Conferência das Partes” (ROBINSON, 2021, p.17), o que demonstra que a pasta do Ministério do Meio Ambiente deverá estar voltada ao cumprimento das referidas metas.</w:t>
      </w:r>
    </w:p>
    <w:p w:rsidR="00000000" w:rsidDel="00000000" w:rsidP="00000000" w:rsidRDefault="00000000" w:rsidRPr="00000000" w14:paraId="0000001A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Ou,</w:t>
      </w:r>
    </w:p>
    <w:p w:rsidR="00000000" w:rsidDel="00000000" w:rsidP="00000000" w:rsidRDefault="00000000" w:rsidRPr="00000000" w14:paraId="0000001B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Segundo Ronbinson (2021, p.17), o Brasil “fechou acordo sobre o combate à mudança climática, marcando compromissos ambiciosos com os objetivos da Conferência das Partes”, o que demonstra que a pasta do Ministério do Meio Ambiente deverá estar voltada ao cumprimento das referidas metas.</w:t>
      </w:r>
    </w:p>
    <w:p w:rsidR="00000000" w:rsidDel="00000000" w:rsidP="00000000" w:rsidRDefault="00000000" w:rsidRPr="00000000" w14:paraId="0000001C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Citações diretas acima de 3 linhas:</w:t>
      </w:r>
    </w:p>
    <w:p w:rsidR="00000000" w:rsidDel="00000000" w:rsidP="00000000" w:rsidRDefault="00000000" w:rsidRPr="00000000" w14:paraId="0000001E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Brasil, em 2015:</w:t>
      </w:r>
    </w:p>
    <w:p w:rsidR="00000000" w:rsidDel="00000000" w:rsidP="00000000" w:rsidRDefault="00000000" w:rsidRPr="00000000" w14:paraId="00000020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59" w:lineRule="auto"/>
        <w:ind w:left="2267" w:firstLine="0"/>
        <w:jc w:val="both"/>
        <w:rPr/>
      </w:pPr>
      <w:r w:rsidDel="00000000" w:rsidR="00000000" w:rsidRPr="00000000">
        <w:rPr>
          <w:rtl w:val="0"/>
        </w:rPr>
        <w:t xml:space="preserve">fechou acordo sobre o combate à mudança climática, marcando compromissos ambiciosos com os objetos da Conferência das Partes, que é o órgão supremo da Convenção-Quadro das Nações Unidas sobre Mudança do Clima (United Nations Framework Convention on Climate Change - UNFCCC). Em 2016, os esforços do Brasil e de outros países começaram a ser colocados em prática com a entrada em vigor do Acordo de Paris. </w:t>
      </w:r>
      <w:r w:rsidDel="00000000" w:rsidR="00000000" w:rsidRPr="00000000">
        <w:rPr>
          <w:sz w:val="24"/>
          <w:szCs w:val="24"/>
          <w:rtl w:val="0"/>
        </w:rPr>
        <w:t xml:space="preserve">(ROBINSON, 2021, p.17).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 citação indireta é a elaboração de texto com base na obra ou trabalho do (a) autor (a) consultado (a). A reprodução é feita com outras palavras, mas sendo fidedigna à ideia do (a) autor (a) utilizado (a).</w:t>
      </w:r>
    </w:p>
    <w:p w:rsidR="00000000" w:rsidDel="00000000" w:rsidP="00000000" w:rsidRDefault="00000000" w:rsidRPr="00000000" w14:paraId="00000024">
      <w:pPr>
        <w:spacing w:line="259" w:lineRule="auto"/>
        <w:ind w:firstLine="85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           Exemplo de citação indireta:</w:t>
      </w:r>
    </w:p>
    <w:p w:rsidR="00000000" w:rsidDel="00000000" w:rsidP="00000000" w:rsidRDefault="00000000" w:rsidRPr="00000000" w14:paraId="00000025">
      <w:pPr>
        <w:spacing w:line="259" w:lineRule="auto"/>
        <w:ind w:firstLine="85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Brasil e outros países, a partir de 2016, passaram a mover esforços para a implementação da agenda climática devido à vigência do Acordo de Paris (ROBINSON, 2021, p.17). </w:t>
      </w:r>
    </w:p>
    <w:p w:rsidR="00000000" w:rsidDel="00000000" w:rsidP="00000000" w:rsidRDefault="00000000" w:rsidRPr="00000000" w14:paraId="00000026">
      <w:pPr>
        <w:spacing w:line="259" w:lineRule="auto"/>
        <w:ind w:firstLine="85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59" w:lineRule="auto"/>
        <w:ind w:firstLine="708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2.1 Fonte, tamanho e espaçamento</w:t>
      </w:r>
    </w:p>
    <w:p w:rsidR="00000000" w:rsidDel="00000000" w:rsidP="00000000" w:rsidRDefault="00000000" w:rsidRPr="00000000" w14:paraId="00000028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fonte de todo o texto deverá ser Arial, tamanho 12; sendo tamanho 10 para as tabelas e quadros, tamanho 14 para os títulos das Seções e tamanho 12 (itálico) para os títulos das subseções. O texto deve ser digitado usando espaçamento simples e alinhamento justificado. </w:t>
      </w:r>
    </w:p>
    <w:p w:rsidR="00000000" w:rsidDel="00000000" w:rsidP="00000000" w:rsidRDefault="00000000" w:rsidRPr="00000000" w14:paraId="00000029">
      <w:pPr>
        <w:spacing w:line="259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</w:t>
        <w:tab/>
        <w:t xml:space="preserve">Equações</w:t>
      </w:r>
    </w:p>
    <w:p w:rsidR="00000000" w:rsidDel="00000000" w:rsidP="00000000" w:rsidRDefault="00000000" w:rsidRPr="00000000" w14:paraId="0000002B">
      <w:pPr>
        <w:spacing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Equações inseridas no trabalho completo devem ser numeradas sequencialmente e à direita no texto, por exemplo</w:t>
      </w:r>
    </w:p>
    <w:p w:rsidR="00000000" w:rsidDel="00000000" w:rsidP="00000000" w:rsidRDefault="00000000" w:rsidRPr="00000000" w14:paraId="0000002C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19.0" w:type="dxa"/>
        <w:jc w:val="center"/>
        <w:tblLayout w:type="fixed"/>
        <w:tblLook w:val="0000"/>
      </w:tblPr>
      <w:tblGrid>
        <w:gridCol w:w="7922"/>
        <w:gridCol w:w="797"/>
        <w:tblGridChange w:id="0">
          <w:tblGrid>
            <w:gridCol w:w="7922"/>
            <w:gridCol w:w="7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160" w:line="259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f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nary>
                <m:naryPr>
                  <m:chr m:val="∑"/>
                  <m:ctrlPr>
                    <w:rPr>
                      <w:rFonts w:ascii="Cambria Math" w:cs="Cambria Math" w:eastAsia="Cambria Math" w:hAnsi="Cambria Math"/>
                    </w:rPr>
                  </m:ctrlPr>
                </m:naryPr>
                <m:sub>
                  <m:r>
                    <w:rPr>
                      <w:rFonts w:ascii="Cambria Math" w:cs="Cambria Math" w:eastAsia="Cambria Math" w:hAnsi="Cambria Math"/>
                    </w:rPr>
                    <m:t xml:space="preserve">n=0</m:t>
                  </m:r>
                </m:sub>
                <m:sup>
                  <m:r>
                    <w:rPr>
                      <w:rFonts w:ascii="Cambria Math" w:cs="Cambria Math" w:eastAsia="Cambria Math" w:hAnsi="Cambria Math"/>
                    </w:rPr>
                    <m:t>∞</m:t>
                  </m:r>
                </m:sup>
              </m:nary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f</m:t>
                      </m:r>
                    </m:e>
                    <m:sup>
                      <m:d>
                        <m:dPr>
                          <m:begChr m:val="("/>
                          <m:endChr m:val=")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n</m:t>
                          </m:r>
                        </m:e>
                      </m:d>
                    </m:sup>
                  </m:sSup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0</m:t>
                      </m:r>
                    </m:e>
                  </m:d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n!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n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709"/>
              </w:tabs>
              <w:spacing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709"/>
        </w:tabs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59" w:lineRule="auto"/>
        <w:ind w:left="72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4.</w:t>
        <w:tab/>
        <w:t xml:space="preserve">Tabelas e Figuras</w:t>
      </w:r>
    </w:p>
    <w:p w:rsidR="00000000" w:rsidDel="00000000" w:rsidP="00000000" w:rsidRDefault="00000000" w:rsidRPr="00000000" w14:paraId="00000031">
      <w:pPr>
        <w:spacing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As(os) autoras(es) podem inserir figuras e tabelas no artigo. Elas devem estar dispostas próximas de suas referências no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59" w:lineRule="auto"/>
        <w:jc w:val="both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i w:val="1"/>
          <w:sz w:val="24"/>
          <w:szCs w:val="24"/>
          <w:rtl w:val="0"/>
        </w:rPr>
        <w:t xml:space="preserve">4.1 </w:t>
        <w:tab/>
        <w:t xml:space="preserve">Inserção de Tabelas</w:t>
      </w:r>
    </w:p>
    <w:p w:rsidR="00000000" w:rsidDel="00000000" w:rsidP="00000000" w:rsidRDefault="00000000" w:rsidRPr="00000000" w14:paraId="00000034">
      <w:pPr>
        <w:spacing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Tabelas devem ser enumeradas, dispostas horizontalmente centralizadas, próximas de sua referência no texto, e a legenda imediatamente acima dela. Por exemplo, consulte a Tabela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709"/>
        </w:tabs>
        <w:spacing w:line="240" w:lineRule="auto"/>
        <w:ind w:left="1985" w:right="1983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Tabela I - Coeficientes de rendimento dos alunos no período 2022-2024.</w:t>
      </w:r>
    </w:p>
    <w:tbl>
      <w:tblPr>
        <w:tblStyle w:val="Table2"/>
        <w:tblW w:w="5547.0" w:type="dxa"/>
        <w:jc w:val="center"/>
        <w:tblLayout w:type="fixed"/>
        <w:tblLook w:val="0000"/>
      </w:tblPr>
      <w:tblGrid>
        <w:gridCol w:w="2306"/>
        <w:gridCol w:w="3241"/>
        <w:tblGridChange w:id="0">
          <w:tblGrid>
            <w:gridCol w:w="2306"/>
            <w:gridCol w:w="32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Período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Coeficiente de Rendimento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6,5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5,6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2024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7,3</w:t>
            </w:r>
          </w:p>
        </w:tc>
      </w:tr>
    </w:tbl>
    <w:p w:rsidR="00000000" w:rsidDel="00000000" w:rsidP="00000000" w:rsidRDefault="00000000" w:rsidRPr="00000000" w14:paraId="0000003F">
      <w:pPr>
        <w:tabs>
          <w:tab w:val="left" w:leader="none" w:pos="709"/>
        </w:tabs>
        <w:spacing w:line="240" w:lineRule="auto"/>
        <w:ind w:left="1985" w:right="1983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Fonte:   </w:t>
      </w:r>
    </w:p>
    <w:p w:rsidR="00000000" w:rsidDel="00000000" w:rsidP="00000000" w:rsidRDefault="00000000" w:rsidRPr="00000000" w14:paraId="00000040">
      <w:pPr>
        <w:tabs>
          <w:tab w:val="left" w:leader="none" w:pos="709"/>
        </w:tabs>
        <w:spacing w:line="240" w:lineRule="auto"/>
        <w:ind w:left="0" w:right="1983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59" w:lineRule="auto"/>
        <w:ind w:left="349" w:firstLine="0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i w:val="1"/>
          <w:sz w:val="24"/>
          <w:szCs w:val="24"/>
          <w:rtl w:val="0"/>
        </w:rPr>
        <w:t xml:space="preserve">4.2 </w:t>
        <w:tab/>
        <w:t xml:space="preserve">Inserção de Figuras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Figuras devem estar numeradas, dispostas horizontalmente centralizadas, próximas de sua referência no texto, e a legenda imediatamente abaixo dela. </w:t>
      </w:r>
      <w:r w:rsidDel="00000000" w:rsidR="00000000" w:rsidRPr="00000000">
        <w:rPr>
          <w:b w:val="1"/>
          <w:sz w:val="24"/>
          <w:szCs w:val="24"/>
          <w:rtl w:val="0"/>
        </w:rPr>
        <w:t xml:space="preserve">Quando não própria, deve-se indicar/referenciar a fonte.</w:t>
      </w:r>
      <w:r w:rsidDel="00000000" w:rsidR="00000000" w:rsidRPr="00000000">
        <w:rPr>
          <w:sz w:val="24"/>
          <w:szCs w:val="24"/>
          <w:rtl w:val="0"/>
        </w:rPr>
        <w:t xml:space="preserve">} Por exemplo, consulte a Figura 1.</w:t>
      </w:r>
    </w:p>
    <w:p w:rsidR="00000000" w:rsidDel="00000000" w:rsidP="00000000" w:rsidRDefault="00000000" w:rsidRPr="00000000" w14:paraId="00000043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Figura 1 - Imagem que compõe o logo STEAM</w:t>
      </w:r>
    </w:p>
    <w:p w:rsidR="00000000" w:rsidDel="00000000" w:rsidP="00000000" w:rsidRDefault="00000000" w:rsidRPr="00000000" w14:paraId="00000045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1343025</wp:posOffset>
            </wp:positionH>
            <wp:positionV relativeFrom="paragraph">
              <wp:posOffset>63912</wp:posOffset>
            </wp:positionV>
            <wp:extent cx="1741878" cy="1157355"/>
            <wp:effectExtent b="0" l="0" r="0" t="0"/>
            <wp:wrapSquare wrapText="bothSides" distB="0" distT="0" distL="0" distR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1878" cy="1157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709"/>
        </w:tabs>
        <w:spacing w:line="240" w:lineRule="auto"/>
        <w:ind w:left="0" w:right="226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709"/>
        </w:tabs>
        <w:spacing w:line="240" w:lineRule="auto"/>
        <w:ind w:left="2410" w:right="226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</w:t>
      </w:r>
    </w:p>
    <w:p w:rsidR="00000000" w:rsidDel="00000000" w:rsidP="00000000" w:rsidRDefault="00000000" w:rsidRPr="00000000" w14:paraId="0000004D">
      <w:pPr>
        <w:tabs>
          <w:tab w:val="left" w:leader="none" w:pos="709"/>
        </w:tabs>
        <w:spacing w:line="240" w:lineRule="auto"/>
        <w:ind w:right="2267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709"/>
        </w:tabs>
        <w:spacing w:line="240" w:lineRule="auto"/>
        <w:ind w:right="2267" w:firstLine="708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5.</w:t>
        <w:tab/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Esta seção é reservada às principais conclusões e considerações finais do trabalho.</w:t>
      </w:r>
    </w:p>
    <w:p w:rsidR="00000000" w:rsidDel="00000000" w:rsidP="00000000" w:rsidRDefault="00000000" w:rsidRPr="00000000" w14:paraId="00000050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 xml:space="preserve">Agradecimentos (opcional)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Seção reservada aos agradecimentos dos autores, caso seja pertinente. Por exemplo, agradecimento a instituições de fomentos. Esta seção não é numerada e deve ser disposta entre a seção de Considerações Finais e as Referências.</w:t>
      </w:r>
    </w:p>
    <w:p w:rsidR="00000000" w:rsidDel="00000000" w:rsidP="00000000" w:rsidRDefault="00000000" w:rsidRPr="00000000" w14:paraId="00000054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Referências </w:t>
      </w:r>
    </w:p>
    <w:p w:rsidR="00000000" w:rsidDel="00000000" w:rsidP="00000000" w:rsidRDefault="00000000" w:rsidRPr="00000000" w14:paraId="00000059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As referências bibliográficas devem ser inseridas conforme especificado neste padrão. Seguem alguns exemplos de referências: livro [1], artigos publicados em periódicos [2,3], capítulo de livro [4], dissertação de mestrado [5], tese de doutorado [6], trabalho publicado em anais de eventos [7], </w:t>
      </w:r>
      <w:r w:rsidDel="00000000" w:rsidR="00000000" w:rsidRPr="00000000">
        <w:rPr>
          <w:i w:val="1"/>
          <w:sz w:val="24"/>
          <w:szCs w:val="24"/>
          <w:rtl w:val="0"/>
        </w:rPr>
        <w:t xml:space="preserve">website</w:t>
      </w:r>
      <w:r w:rsidDel="00000000" w:rsidR="00000000" w:rsidRPr="00000000">
        <w:rPr>
          <w:sz w:val="24"/>
          <w:szCs w:val="24"/>
          <w:rtl w:val="0"/>
        </w:rPr>
        <w:t xml:space="preserve"> e outros [8]. Sempre que disponível forneça o DOI, ISBN ou ISSN, conforme o caso. Apresentadas em ordem alfabética e de acordo com a ABNT NBR 6023.</w:t>
      </w:r>
    </w:p>
    <w:p w:rsidR="00000000" w:rsidDel="00000000" w:rsidP="00000000" w:rsidRDefault="00000000" w:rsidRPr="00000000" w14:paraId="0000005A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 BOLDRINI, José Luiz. et al. </w:t>
      </w:r>
      <w:r w:rsidDel="00000000" w:rsidR="00000000" w:rsidRPr="00000000">
        <w:rPr>
          <w:b w:val="1"/>
          <w:sz w:val="24"/>
          <w:szCs w:val="24"/>
          <w:rtl w:val="0"/>
        </w:rPr>
        <w:t xml:space="preserve">Álgebra Linear</w:t>
      </w:r>
      <w:r w:rsidDel="00000000" w:rsidR="00000000" w:rsidRPr="00000000">
        <w:rPr>
          <w:sz w:val="24"/>
          <w:szCs w:val="24"/>
          <w:rtl w:val="0"/>
        </w:rPr>
        <w:t xml:space="preserve">. 3ª. ed. São Paulo: Harbra, 1986. </w:t>
      </w:r>
    </w:p>
    <w:p w:rsidR="00000000" w:rsidDel="00000000" w:rsidP="00000000" w:rsidRDefault="00000000" w:rsidRPr="00000000" w14:paraId="0000005B">
      <w:pPr>
        <w:tabs>
          <w:tab w:val="left" w:leader="none" w:pos="709"/>
        </w:tabs>
        <w:spacing w:after="57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[2] TOZZI, M.; OTA, J. Vertedouro em degraus. </w:t>
      </w:r>
      <w:r w:rsidDel="00000000" w:rsidR="00000000" w:rsidRPr="00000000">
        <w:rPr>
          <w:b w:val="1"/>
          <w:sz w:val="24"/>
          <w:szCs w:val="24"/>
          <w:rtl w:val="0"/>
        </w:rPr>
        <w:t xml:space="preserve">Revista da Vinci</w:t>
      </w:r>
      <w:r w:rsidDel="00000000" w:rsidR="00000000" w:rsidRPr="00000000">
        <w:rPr>
          <w:sz w:val="24"/>
          <w:szCs w:val="24"/>
          <w:rtl w:val="0"/>
        </w:rPr>
        <w:t xml:space="preserve">, Curitiba, v.1, n.1, p. 9-28, 2004.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709"/>
        </w:tabs>
        <w:spacing w:after="57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[3] CULMINATO, J. A. RUAS, V.. “Unification of distance inequalities for linear variational problems”. In: </w:t>
      </w:r>
      <w:r w:rsidDel="00000000" w:rsidR="00000000" w:rsidRPr="00000000">
        <w:rPr>
          <w:b w:val="1"/>
          <w:sz w:val="24"/>
          <w:szCs w:val="24"/>
          <w:rtl w:val="0"/>
        </w:rPr>
        <w:t xml:space="preserve">Computational and Applied Mathematics,</w:t>
      </w:r>
      <w:r w:rsidDel="00000000" w:rsidR="00000000" w:rsidRPr="00000000">
        <w:rPr>
          <w:sz w:val="24"/>
          <w:szCs w:val="24"/>
          <w:rtl w:val="0"/>
        </w:rPr>
        <w:t xml:space="preserve"> 34, p. 1009–1033, 2014. doi: 10.1007/s40314-014-0163-6.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[4] ALMEIDA, Leandro S.; SOARES, Ana P. Os estudantes universitários: sucesso escolar e desenvolvimento psicossocial. In: MERCURI, Elizabeth.; POLYDORO, Soely A. J. (orgs.). </w:t>
      </w:r>
      <w:r w:rsidDel="00000000" w:rsidR="00000000" w:rsidRPr="00000000">
        <w:rPr>
          <w:b w:val="1"/>
          <w:sz w:val="24"/>
          <w:szCs w:val="24"/>
          <w:rtl w:val="0"/>
        </w:rPr>
        <w:t xml:space="preserve">Estudante universitário</w:t>
      </w:r>
      <w:r w:rsidDel="00000000" w:rsidR="00000000" w:rsidRPr="00000000">
        <w:rPr>
          <w:sz w:val="24"/>
          <w:szCs w:val="24"/>
          <w:rtl w:val="0"/>
        </w:rPr>
        <w:t xml:space="preserve">: características e experiências de formação. Taubaté, SP: Livraria Universitária, 2003. p. 15-40.</w:t>
      </w:r>
    </w:p>
    <w:p w:rsidR="00000000" w:rsidDel="00000000" w:rsidP="00000000" w:rsidRDefault="00000000" w:rsidRPr="00000000" w14:paraId="0000005E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[5] DINIZ, G. L. A mudança no habitat de populações de peixes: de rio a represa: o modelo matemático. 1994. 90 f. </w:t>
      </w:r>
      <w:r w:rsidDel="00000000" w:rsidR="00000000" w:rsidRPr="00000000">
        <w:rPr>
          <w:b w:val="1"/>
          <w:sz w:val="24"/>
          <w:szCs w:val="24"/>
          <w:rtl w:val="0"/>
        </w:rPr>
        <w:t xml:space="preserve">Dissertação</w:t>
      </w:r>
      <w:r w:rsidDel="00000000" w:rsidR="00000000" w:rsidRPr="00000000">
        <w:rPr>
          <w:sz w:val="24"/>
          <w:szCs w:val="24"/>
          <w:rtl w:val="0"/>
        </w:rPr>
        <w:t xml:space="preserve"> (Mestrado em Matemática Aplicada)–Unicamp, Campinas, 1994.</w:t>
      </w:r>
    </w:p>
    <w:p w:rsidR="00000000" w:rsidDel="00000000" w:rsidP="00000000" w:rsidRDefault="00000000" w:rsidRPr="00000000" w14:paraId="0000005F">
      <w:pPr>
        <w:tabs>
          <w:tab w:val="left" w:leader="none" w:pos="709"/>
        </w:tabs>
        <w:spacing w:after="57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[6] TERRIBILI FILHO, Armando. Educação superior no período noturno: impacto do entorno educacional no cotidiano do estudante. 2007. 186f. </w:t>
      </w:r>
      <w:r w:rsidDel="00000000" w:rsidR="00000000" w:rsidRPr="00000000">
        <w:rPr>
          <w:b w:val="1"/>
          <w:sz w:val="24"/>
          <w:szCs w:val="24"/>
          <w:rtl w:val="0"/>
        </w:rPr>
        <w:t xml:space="preserve">Tese</w:t>
      </w:r>
      <w:r w:rsidDel="00000000" w:rsidR="00000000" w:rsidRPr="00000000">
        <w:rPr>
          <w:sz w:val="24"/>
          <w:szCs w:val="24"/>
          <w:rtl w:val="0"/>
        </w:rPr>
        <w:t xml:space="preserve"> (Doutorado em Educação), Faculdade de Filosofia e Ciências, Universidade Estadual Paulista, São Paulo, 2007.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[7] BRAYNER, A. R. A.; MEDEIROS, C. B. Incorporação do tempo em SGBD orientado a objetos. In: SIMPÓSIO BRASILEIRO DE BANCO DE DADOS, 9., 1994, São Paulo. Anais. São Paulo: USP, 1994. p. 16-29.</w:t>
      </w:r>
    </w:p>
    <w:p w:rsidR="00000000" w:rsidDel="00000000" w:rsidP="00000000" w:rsidRDefault="00000000" w:rsidRPr="00000000" w14:paraId="00000061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[8] </w:t>
      </w:r>
      <w:r w:rsidDel="00000000" w:rsidR="00000000" w:rsidRPr="00000000">
        <w:rPr>
          <w:b w:val="1"/>
          <w:sz w:val="24"/>
          <w:szCs w:val="24"/>
          <w:rtl w:val="0"/>
        </w:rPr>
        <w:t xml:space="preserve">BRASIL</w:t>
      </w:r>
      <w:r w:rsidDel="00000000" w:rsidR="00000000" w:rsidRPr="00000000">
        <w:rPr>
          <w:sz w:val="24"/>
          <w:szCs w:val="24"/>
          <w:rtl w:val="0"/>
        </w:rPr>
        <w:t xml:space="preserve">. Ministério da Educação. Instituto Nacional de Estudos e Pesquisas Educacionais Anísio Teixeira. Sinopse da Educação Superior 2020. Disponível em: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https://www.gov.br/inep/pt-br/acesso-a-informacao/dados-abertos/sinopses-estatisticas</w:t>
        </w:r>
      </w:hyperlink>
      <w:r w:rsidDel="00000000" w:rsidR="00000000" w:rsidRPr="00000000">
        <w:rPr>
          <w:sz w:val="24"/>
          <w:szCs w:val="24"/>
          <w:rtl w:val="0"/>
        </w:rPr>
        <w:t xml:space="preserve"> . Acesso: 10 maio. 2024. </w:t>
      </w:r>
    </w:p>
    <w:p w:rsidR="00000000" w:rsidDel="00000000" w:rsidP="00000000" w:rsidRDefault="00000000" w:rsidRPr="00000000" w14:paraId="00000062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INSTRUCTIONS FOR THE PREPARATION AND SUBMISSION OF WORKS TO THE SCIENTIFIC COMMITTEE OF THE II INTERNATIONAL CONGRESS OF WOMEN IN STEAM AND III BRAZILIAN SYMPOSIUM OF WOMEN IN STEM</w:t>
      </w:r>
    </w:p>
    <w:p w:rsidR="00000000" w:rsidDel="00000000" w:rsidP="00000000" w:rsidRDefault="00000000" w:rsidRPr="00000000" w14:paraId="00000065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Abstract: This document presents detailed instructions...</w:t>
      </w:r>
    </w:p>
    <w:p w:rsidR="00000000" w:rsidDel="00000000" w:rsidP="00000000" w:rsidRDefault="00000000" w:rsidRPr="00000000" w14:paraId="00000067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Keywords: first one, second word …</w:t>
      </w:r>
    </w:p>
    <w:p w:rsidR="00000000" w:rsidDel="00000000" w:rsidP="00000000" w:rsidRDefault="00000000" w:rsidRPr="00000000" w14:paraId="00000069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Observação: </w:t>
      </w:r>
      <w:r w:rsidDel="00000000" w:rsidR="00000000" w:rsidRPr="00000000">
        <w:rPr>
          <w:sz w:val="24"/>
          <w:szCs w:val="24"/>
          <w:rtl w:val="0"/>
        </w:rPr>
        <w:t xml:space="preserve">os Dados dos autores, Resumo e as Palavras-chave do trabalho devem constar apenas no formulário de submissão online, sua permanência no corpo do trabalho (que é submetido em PDF) poderá desclassificar o trabalho. Abstract e Keywords devem permanecer ao final do trabalho submetido em PDF</w:t>
      </w:r>
    </w:p>
    <w:p w:rsidR="00000000" w:rsidDel="00000000" w:rsidP="00000000" w:rsidRDefault="00000000" w:rsidRPr="00000000" w14:paraId="0000006E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Resumo</w:t>
      </w:r>
      <w:r w:rsidDel="00000000" w:rsidR="00000000" w:rsidRPr="00000000">
        <w:rPr>
          <w:sz w:val="24"/>
          <w:szCs w:val="24"/>
          <w:rtl w:val="0"/>
        </w:rPr>
        <w:t xml:space="preserve">. Este é o padrão para a submissão de trabalhos da Categoria Artigo do Congresso, destinados à divulgação de pesquisas com resultados avançados ou conclusivos. Nesta categoria, os trabalhos devem ser submetidos em Português ou Inglês, em forma de artigo com no mínimo 8 (oito) e no máximo 15 (quinze) páginas, incluindo-se as referências bibliográficas. Os trabalhos submetidos que não estiverem de acordo com o formato apresentado por esse padrão serão rejeitados pelo Comitê Científico do evento, sem análise do mérito científico.</w:t>
      </w:r>
    </w:p>
    <w:p w:rsidR="00000000" w:rsidDel="00000000" w:rsidP="00000000" w:rsidRDefault="00000000" w:rsidRPr="00000000" w14:paraId="00000070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sz w:val="24"/>
          <w:szCs w:val="24"/>
          <w:rtl w:val="0"/>
        </w:rPr>
        <w:t xml:space="preserve">. Mulheres em STEM, Mulheres na C&amp;T, Educação STEAM  (entre 3-4 palavras-chave)</w:t>
      </w:r>
    </w:p>
    <w:p w:rsidR="00000000" w:rsidDel="00000000" w:rsidP="00000000" w:rsidRDefault="00000000" w:rsidRPr="00000000" w14:paraId="00000072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 Math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731200" cy="9525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952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www.gov.br/inep/pt-br/acesso-a-informacao/dados-abertos/sinopses-estatisticas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